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F023" w14:textId="77777777" w:rsidR="00721CF5" w:rsidRPr="00721CF5" w:rsidRDefault="00721CF5" w:rsidP="006E1741">
      <w:pPr>
        <w:spacing w:line="240" w:lineRule="auto"/>
        <w:jc w:val="center"/>
        <w:rPr>
          <w:rFonts w:ascii="Aptos" w:hAnsi="Aptos" w:cs="Times New Roman"/>
          <w:b/>
          <w:bCs/>
          <w:sz w:val="48"/>
          <w:szCs w:val="48"/>
        </w:rPr>
      </w:pPr>
      <w:r w:rsidRPr="00721CF5">
        <w:rPr>
          <w:rFonts w:ascii="Aptos" w:hAnsi="Aptos" w:cs="Times New Roman"/>
          <w:b/>
          <w:bCs/>
          <w:sz w:val="48"/>
          <w:szCs w:val="48"/>
          <w:highlight w:val="yellow"/>
        </w:rPr>
        <w:t>[County/Municipality]</w:t>
      </w:r>
      <w:r w:rsidRPr="00721CF5">
        <w:rPr>
          <w:rFonts w:ascii="Aptos" w:hAnsi="Aptos" w:cs="Times New Roman"/>
          <w:b/>
          <w:bCs/>
          <w:sz w:val="48"/>
          <w:szCs w:val="48"/>
        </w:rPr>
        <w:t xml:space="preserve"> Completes Post-Election Audit</w:t>
      </w:r>
    </w:p>
    <w:p w14:paraId="41163E84" w14:textId="7B63594B" w:rsidR="00721CF5" w:rsidRPr="00721CF5" w:rsidRDefault="00721CF5" w:rsidP="00721CF5">
      <w:pPr>
        <w:spacing w:line="240" w:lineRule="auto"/>
        <w:contextualSpacing/>
        <w:rPr>
          <w:rFonts w:ascii="Aptos" w:hAnsi="Aptos" w:cs="Times New Roman"/>
        </w:rPr>
      </w:pPr>
      <w:r w:rsidRPr="00721CF5">
        <w:rPr>
          <w:rFonts w:ascii="Aptos" w:hAnsi="Aptos" w:cs="Times New Roman"/>
        </w:rPr>
        <w:t xml:space="preserve">FOR IMMEDIATE RELEASE:                                 </w:t>
      </w:r>
      <w:r>
        <w:rPr>
          <w:rFonts w:ascii="Aptos" w:hAnsi="Aptos" w:cs="Times New Roman"/>
        </w:rPr>
        <w:t xml:space="preserve">                      </w:t>
      </w:r>
      <w:r w:rsidRPr="00721CF5">
        <w:rPr>
          <w:rFonts w:ascii="Aptos" w:hAnsi="Aptos" w:cs="Times New Roman"/>
        </w:rPr>
        <w:t>FOR MORE INFORMATION, CONTACT:</w:t>
      </w:r>
    </w:p>
    <w:p w14:paraId="0D691297" w14:textId="605B7055" w:rsidR="00721CF5" w:rsidRPr="00721CF5" w:rsidRDefault="00721CF5" w:rsidP="00721CF5">
      <w:pPr>
        <w:spacing w:line="240" w:lineRule="auto"/>
        <w:contextualSpacing/>
        <w:rPr>
          <w:rFonts w:ascii="Aptos" w:hAnsi="Aptos" w:cs="Times New Roman"/>
        </w:rPr>
      </w:pPr>
      <w:r w:rsidRPr="00042636">
        <w:rPr>
          <w:rFonts w:ascii="Aptos" w:hAnsi="Aptos" w:cs="Times New Roman"/>
          <w:i/>
          <w:iCs/>
          <w:highlight w:val="yellow"/>
        </w:rPr>
        <w:t>[Month], XX,</w:t>
      </w:r>
      <w:r w:rsidRPr="00721CF5">
        <w:rPr>
          <w:rFonts w:ascii="Aptos" w:hAnsi="Aptos" w:cs="Times New Roman"/>
          <w:i/>
          <w:iCs/>
        </w:rPr>
        <w:t xml:space="preserve"> </w:t>
      </w:r>
      <w:r w:rsidRPr="00721CF5">
        <w:rPr>
          <w:rFonts w:ascii="Aptos" w:hAnsi="Aptos" w:cs="Times New Roman"/>
        </w:rPr>
        <w:t xml:space="preserve">2024                                  </w:t>
      </w:r>
      <w:r>
        <w:rPr>
          <w:rFonts w:ascii="Aptos" w:hAnsi="Aptos" w:cs="Times New Roman"/>
        </w:rPr>
        <w:t xml:space="preserve">                                                       </w:t>
      </w:r>
      <w:r w:rsidRPr="00721CF5">
        <w:rPr>
          <w:rFonts w:ascii="Aptos" w:hAnsi="Aptos" w:cs="Times New Roman"/>
          <w:i/>
          <w:iCs/>
          <w:highlight w:val="yellow"/>
        </w:rPr>
        <w:t>Name, Email Address or Phone</w:t>
      </w:r>
    </w:p>
    <w:p w14:paraId="0DD15DA0" w14:textId="77777777" w:rsidR="00721CF5" w:rsidRDefault="00721CF5" w:rsidP="0002095C">
      <w:pPr>
        <w:spacing w:line="240" w:lineRule="auto"/>
        <w:contextualSpacing/>
        <w:rPr>
          <w:rFonts w:ascii="Aptos" w:hAnsi="Aptos" w:cs="Times New Roman"/>
          <w:i/>
          <w:iCs/>
          <w:kern w:val="0"/>
          <w:sz w:val="22"/>
          <w:szCs w:val="22"/>
          <w:highlight w:val="yellow"/>
          <w14:ligatures w14:val="none"/>
        </w:rPr>
      </w:pPr>
    </w:p>
    <w:p w14:paraId="387774E0" w14:textId="77777777" w:rsidR="00721CF5" w:rsidRDefault="00721CF5" w:rsidP="0002095C">
      <w:pPr>
        <w:spacing w:line="240" w:lineRule="auto"/>
        <w:contextualSpacing/>
        <w:rPr>
          <w:rFonts w:ascii="Aptos" w:hAnsi="Aptos" w:cs="Times New Roman"/>
          <w:i/>
          <w:iCs/>
          <w:kern w:val="0"/>
          <w:sz w:val="22"/>
          <w:szCs w:val="22"/>
          <w:highlight w:val="yellow"/>
          <w14:ligatures w14:val="none"/>
        </w:rPr>
      </w:pPr>
    </w:p>
    <w:p w14:paraId="2A58170D" w14:textId="401BBF0F" w:rsidR="0002095C" w:rsidRPr="0002095C" w:rsidRDefault="00BF311C" w:rsidP="0002095C">
      <w:pPr>
        <w:spacing w:line="240" w:lineRule="auto"/>
        <w:contextualSpacing/>
        <w:rPr>
          <w:rFonts w:ascii="Aptos" w:hAnsi="Aptos" w:cs="Times New Roman"/>
          <w:kern w:val="0"/>
          <w:sz w:val="22"/>
          <w:szCs w:val="22"/>
          <w14:ligatures w14:val="none"/>
        </w:rPr>
      </w:pPr>
      <w:r w:rsidRPr="00721CF5">
        <w:rPr>
          <w:rFonts w:ascii="Aptos" w:hAnsi="Aptos" w:cs="Times New Roman"/>
          <w:b/>
          <w:bCs/>
          <w:i/>
          <w:iCs/>
          <w:kern w:val="0"/>
          <w:sz w:val="22"/>
          <w:szCs w:val="22"/>
          <w:highlight w:val="yellow"/>
          <w14:ligatures w14:val="none"/>
        </w:rPr>
        <w:t>[</w:t>
      </w:r>
      <w:r w:rsidR="0002095C" w:rsidRPr="0002095C">
        <w:rPr>
          <w:rFonts w:ascii="Aptos" w:hAnsi="Aptos" w:cs="Times New Roman"/>
          <w:b/>
          <w:bCs/>
          <w:i/>
          <w:iCs/>
          <w:kern w:val="0"/>
          <w:sz w:val="22"/>
          <w:szCs w:val="22"/>
          <w:highlight w:val="yellow"/>
          <w14:ligatures w14:val="none"/>
        </w:rPr>
        <w:t>COUNTY/MUNICIPALITY</w:t>
      </w:r>
      <w:r w:rsidRPr="00721CF5">
        <w:rPr>
          <w:rFonts w:ascii="Aptos" w:hAnsi="Aptos" w:cs="Times New Roman"/>
          <w:b/>
          <w:bCs/>
          <w:i/>
          <w:iCs/>
          <w:kern w:val="0"/>
          <w:sz w:val="22"/>
          <w:szCs w:val="22"/>
          <w:highlight w:val="yellow"/>
          <w14:ligatures w14:val="none"/>
        </w:rPr>
        <w:t>]</w:t>
      </w:r>
      <w:r w:rsidR="0002095C" w:rsidRPr="0002095C">
        <w:rPr>
          <w:rFonts w:ascii="Aptos" w:hAnsi="Aptos" w:cs="Times New Roman"/>
          <w:b/>
          <w:bCs/>
          <w:kern w:val="0"/>
          <w:sz w:val="22"/>
          <w:szCs w:val="22"/>
          <w14:ligatures w14:val="none"/>
        </w:rPr>
        <w:t>,</w:t>
      </w:r>
      <w:r w:rsidR="0002095C" w:rsidRPr="0002095C">
        <w:rPr>
          <w:rFonts w:ascii="Aptos" w:hAnsi="Aptos" w:cs="Times New Roman"/>
          <w:kern w:val="0"/>
          <w:sz w:val="22"/>
          <w:szCs w:val="22"/>
          <w14:ligatures w14:val="none"/>
        </w:rPr>
        <w:t xml:space="preserve"> Wis. – Residents in </w:t>
      </w:r>
      <w:r w:rsidR="0002095C" w:rsidRPr="0002095C">
        <w:rPr>
          <w:rFonts w:ascii="Aptos" w:hAnsi="Aptos" w:cs="Times New Roman"/>
          <w:i/>
          <w:iCs/>
          <w:kern w:val="0"/>
          <w:sz w:val="22"/>
          <w:szCs w:val="22"/>
          <w:highlight w:val="yellow"/>
          <w14:ligatures w14:val="none"/>
        </w:rPr>
        <w:t>[county/municipality]</w:t>
      </w:r>
      <w:r w:rsidR="0002095C" w:rsidRPr="0002095C">
        <w:rPr>
          <w:rFonts w:ascii="Aptos" w:hAnsi="Aptos" w:cs="Times New Roman"/>
          <w:i/>
          <w:iCs/>
          <w:kern w:val="0"/>
          <w:sz w:val="22"/>
          <w:szCs w:val="22"/>
          <w14:ligatures w14:val="none"/>
        </w:rPr>
        <w:t xml:space="preserve"> </w:t>
      </w:r>
      <w:r w:rsidR="0002095C" w:rsidRPr="0002095C">
        <w:rPr>
          <w:rFonts w:ascii="Aptos" w:hAnsi="Aptos" w:cs="Times New Roman"/>
          <w:kern w:val="0"/>
          <w:sz w:val="22"/>
          <w:szCs w:val="22"/>
          <w14:ligatures w14:val="none"/>
        </w:rPr>
        <w:t xml:space="preserve">can be confident that votes were counted accurately in the November General Election following the completion of a post-election audit of voting equipment used in </w:t>
      </w:r>
      <w:r w:rsidR="0002095C" w:rsidRPr="0002095C">
        <w:rPr>
          <w:rFonts w:ascii="Aptos" w:hAnsi="Aptos" w:cs="Times New Roman"/>
          <w:i/>
          <w:iCs/>
          <w:kern w:val="0"/>
          <w:sz w:val="22"/>
          <w:szCs w:val="22"/>
          <w:highlight w:val="yellow"/>
          <w14:ligatures w14:val="none"/>
        </w:rPr>
        <w:t>[county/municipality]</w:t>
      </w:r>
      <w:r w:rsidR="0002095C" w:rsidRPr="0002095C">
        <w:rPr>
          <w:rFonts w:ascii="Aptos" w:hAnsi="Aptos" w:cs="Times New Roman"/>
          <w:kern w:val="0"/>
          <w:sz w:val="22"/>
          <w:szCs w:val="22"/>
          <w14:ligatures w14:val="none"/>
        </w:rPr>
        <w:t xml:space="preserve"> for the Nov. 5, 2024</w:t>
      </w:r>
      <w:r w:rsidR="00133AA3">
        <w:rPr>
          <w:rFonts w:ascii="Aptos" w:hAnsi="Aptos" w:cs="Times New Roman"/>
          <w:kern w:val="0"/>
          <w:sz w:val="22"/>
          <w:szCs w:val="22"/>
          <w14:ligatures w14:val="none"/>
        </w:rPr>
        <w:t>,</w:t>
      </w:r>
      <w:r w:rsidR="0002095C" w:rsidRPr="0002095C">
        <w:rPr>
          <w:rFonts w:ascii="Aptos" w:hAnsi="Aptos" w:cs="Times New Roman"/>
          <w:kern w:val="0"/>
          <w:sz w:val="22"/>
          <w:szCs w:val="22"/>
          <w14:ligatures w14:val="none"/>
        </w:rPr>
        <w:t xml:space="preserve"> election.  </w:t>
      </w:r>
    </w:p>
    <w:p w14:paraId="10790D7D"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0F073DFE" w14:textId="391DF0DF"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On </w:t>
      </w:r>
      <w:r w:rsidRPr="0002095C">
        <w:rPr>
          <w:rFonts w:ascii="Aptos" w:hAnsi="Aptos" w:cs="Times New Roman"/>
          <w:i/>
          <w:iCs/>
          <w:kern w:val="0"/>
          <w:sz w:val="22"/>
          <w:szCs w:val="22"/>
          <w:highlight w:val="yellow"/>
          <w14:ligatures w14:val="none"/>
        </w:rPr>
        <w:t>[date]</w:t>
      </w:r>
      <w:r w:rsidRPr="0002095C">
        <w:rPr>
          <w:rFonts w:ascii="Aptos" w:hAnsi="Aptos" w:cs="Times New Roman"/>
          <w:kern w:val="0"/>
          <w:sz w:val="22"/>
          <w:szCs w:val="22"/>
          <w14:ligatures w14:val="none"/>
        </w:rPr>
        <w:t xml:space="preserve">, election workers completed an audit of voting equipment in </w:t>
      </w:r>
      <w:r w:rsidRPr="00042636">
        <w:rPr>
          <w:rFonts w:ascii="Aptos" w:hAnsi="Aptos" w:cs="Times New Roman"/>
          <w:kern w:val="0"/>
          <w:sz w:val="22"/>
          <w:szCs w:val="22"/>
          <w:highlight w:val="yellow"/>
          <w14:ligatures w14:val="none"/>
        </w:rPr>
        <w:t>[</w:t>
      </w:r>
      <w:r w:rsidRPr="00042636">
        <w:rPr>
          <w:rFonts w:ascii="Aptos" w:hAnsi="Aptos" w:cs="Times New Roman"/>
          <w:i/>
          <w:iCs/>
          <w:kern w:val="0"/>
          <w:sz w:val="22"/>
          <w:szCs w:val="22"/>
          <w:highlight w:val="yellow"/>
          <w14:ligatures w14:val="none"/>
        </w:rPr>
        <w:t>x</w:t>
      </w:r>
      <w:r w:rsidRPr="00042636">
        <w:rPr>
          <w:rFonts w:ascii="Aptos" w:hAnsi="Aptos" w:cs="Times New Roman"/>
          <w:kern w:val="0"/>
          <w:sz w:val="22"/>
          <w:szCs w:val="22"/>
          <w:highlight w:val="yellow"/>
          <w14:ligatures w14:val="none"/>
        </w:rPr>
        <w:t>]</w:t>
      </w:r>
      <w:r w:rsidRPr="0002095C">
        <w:rPr>
          <w:rFonts w:ascii="Aptos" w:hAnsi="Aptos" w:cs="Times New Roman"/>
          <w:kern w:val="0"/>
          <w:sz w:val="22"/>
          <w:szCs w:val="22"/>
          <w14:ligatures w14:val="none"/>
        </w:rPr>
        <w:t xml:space="preserve"> reporting units (typically a ward or wards that report out election results) in </w:t>
      </w:r>
      <w:r w:rsidRPr="0002095C">
        <w:rPr>
          <w:rFonts w:ascii="Aptos" w:hAnsi="Aptos" w:cs="Times New Roman"/>
          <w:i/>
          <w:iCs/>
          <w:kern w:val="0"/>
          <w:sz w:val="22"/>
          <w:szCs w:val="22"/>
          <w:highlight w:val="yellow"/>
          <w14:ligatures w14:val="none"/>
        </w:rPr>
        <w:t>[name municipalities audited]</w:t>
      </w:r>
      <w:r w:rsidRPr="0002095C">
        <w:rPr>
          <w:rFonts w:ascii="Aptos" w:hAnsi="Aptos" w:cs="Times New Roman"/>
          <w:kern w:val="0"/>
          <w:sz w:val="22"/>
          <w:szCs w:val="22"/>
          <w14:ligatures w14:val="none"/>
        </w:rPr>
        <w:t xml:space="preserve">, which were randomly selected for audit by the Wisconsin Elections Commission </w:t>
      </w:r>
      <w:r w:rsidR="00BF311C">
        <w:rPr>
          <w:rFonts w:ascii="Aptos" w:hAnsi="Aptos" w:cs="Times New Roman"/>
          <w:kern w:val="0"/>
          <w:sz w:val="22"/>
          <w:szCs w:val="22"/>
          <w14:ligatures w14:val="none"/>
        </w:rPr>
        <w:t xml:space="preserve">(WEC) </w:t>
      </w:r>
      <w:r w:rsidRPr="0002095C">
        <w:rPr>
          <w:rFonts w:ascii="Aptos" w:hAnsi="Aptos" w:cs="Times New Roman"/>
          <w:kern w:val="0"/>
          <w:sz w:val="22"/>
          <w:szCs w:val="22"/>
          <w14:ligatures w14:val="none"/>
        </w:rPr>
        <w:t>during an event open to the public. The audit provides an additional way to ensure that voting machines worked properly, and that the election was conducted accurately.</w:t>
      </w:r>
    </w:p>
    <w:p w14:paraId="23E1FAFD"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2F667ADA" w14:textId="441FEBFC"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Wisconsin </w:t>
      </w:r>
      <w:r w:rsidR="00133AA3">
        <w:rPr>
          <w:rFonts w:ascii="Aptos" w:hAnsi="Aptos" w:cs="Times New Roman"/>
          <w:kern w:val="0"/>
          <w:sz w:val="22"/>
          <w:szCs w:val="22"/>
          <w14:ligatures w14:val="none"/>
        </w:rPr>
        <w:t>S</w:t>
      </w:r>
      <w:r w:rsidRPr="0002095C">
        <w:rPr>
          <w:rFonts w:ascii="Aptos" w:hAnsi="Aptos" w:cs="Times New Roman"/>
          <w:kern w:val="0"/>
          <w:sz w:val="22"/>
          <w:szCs w:val="22"/>
          <w14:ligatures w14:val="none"/>
        </w:rPr>
        <w:t>tatute</w:t>
      </w:r>
      <w:r w:rsidR="00133AA3">
        <w:rPr>
          <w:rFonts w:ascii="Aptos" w:hAnsi="Aptos" w:cs="Times New Roman"/>
          <w:kern w:val="0"/>
          <w:sz w:val="22"/>
          <w:szCs w:val="22"/>
          <w14:ligatures w14:val="none"/>
        </w:rPr>
        <w:t xml:space="preserve"> </w:t>
      </w:r>
      <w:r w:rsidR="00133AA3" w:rsidRPr="00133AA3">
        <w:rPr>
          <w:rFonts w:ascii="Aptos" w:hAnsi="Aptos" w:cs="Times New Roman"/>
          <w:kern w:val="0"/>
          <w:sz w:val="22"/>
          <w:szCs w:val="22"/>
          <w14:ligatures w14:val="none"/>
        </w:rPr>
        <w:t xml:space="preserve">§ 7.08(6) </w:t>
      </w:r>
      <w:r w:rsidRPr="0002095C">
        <w:rPr>
          <w:rFonts w:ascii="Aptos" w:hAnsi="Aptos" w:cs="Times New Roman"/>
          <w:kern w:val="0"/>
          <w:sz w:val="22"/>
          <w:szCs w:val="22"/>
          <w14:ligatures w14:val="none"/>
        </w:rPr>
        <w:t>require</w:t>
      </w:r>
      <w:r w:rsidR="00133AA3">
        <w:rPr>
          <w:rFonts w:ascii="Aptos" w:hAnsi="Aptos" w:cs="Times New Roman"/>
          <w:kern w:val="0"/>
          <w:sz w:val="22"/>
          <w:szCs w:val="22"/>
          <w14:ligatures w14:val="none"/>
        </w:rPr>
        <w:t>s</w:t>
      </w:r>
      <w:r w:rsidRPr="0002095C">
        <w:rPr>
          <w:rFonts w:ascii="Aptos" w:hAnsi="Aptos" w:cs="Times New Roman"/>
          <w:kern w:val="0"/>
          <w:sz w:val="22"/>
          <w:szCs w:val="22"/>
          <w14:ligatures w14:val="none"/>
        </w:rPr>
        <w:t xml:space="preserve"> a post-election audit of voting systems used in Wisconsin after each General Election. During th</w:t>
      </w:r>
      <w:r w:rsidR="0048523A">
        <w:rPr>
          <w:rFonts w:ascii="Aptos" w:hAnsi="Aptos" w:cs="Times New Roman"/>
          <w:kern w:val="0"/>
          <w:sz w:val="22"/>
          <w:szCs w:val="22"/>
          <w14:ligatures w14:val="none"/>
        </w:rPr>
        <w:t xml:space="preserve">e </w:t>
      </w:r>
      <w:r w:rsidRPr="0002095C">
        <w:rPr>
          <w:rFonts w:ascii="Aptos" w:hAnsi="Aptos" w:cs="Times New Roman"/>
          <w:kern w:val="0"/>
          <w:sz w:val="22"/>
          <w:szCs w:val="22"/>
          <w14:ligatures w14:val="none"/>
        </w:rPr>
        <w:t>audit, election officials check to make sure the vote totals compiled by the voting equipment on Election Night are accurate</w:t>
      </w:r>
      <w:r w:rsidR="0048523A">
        <w:rPr>
          <w:rFonts w:ascii="Aptos" w:hAnsi="Aptos" w:cs="Times New Roman"/>
          <w:kern w:val="0"/>
          <w:sz w:val="22"/>
          <w:szCs w:val="22"/>
          <w14:ligatures w14:val="none"/>
        </w:rPr>
        <w:t xml:space="preserve"> by</w:t>
      </w:r>
      <w:r w:rsidRPr="0002095C">
        <w:rPr>
          <w:rFonts w:ascii="Aptos" w:hAnsi="Aptos" w:cs="Times New Roman"/>
          <w:kern w:val="0"/>
          <w:sz w:val="22"/>
          <w:szCs w:val="22"/>
          <w14:ligatures w14:val="none"/>
        </w:rPr>
        <w:t xml:space="preserve"> conduct</w:t>
      </w:r>
      <w:r w:rsidR="0048523A">
        <w:rPr>
          <w:rFonts w:ascii="Aptos" w:hAnsi="Aptos" w:cs="Times New Roman"/>
          <w:kern w:val="0"/>
          <w:sz w:val="22"/>
          <w:szCs w:val="22"/>
          <w14:ligatures w14:val="none"/>
        </w:rPr>
        <w:t>ing</w:t>
      </w:r>
      <w:r w:rsidRPr="0002095C">
        <w:rPr>
          <w:rFonts w:ascii="Aptos" w:hAnsi="Aptos" w:cs="Times New Roman"/>
          <w:kern w:val="0"/>
          <w:sz w:val="22"/>
          <w:szCs w:val="22"/>
          <w14:ligatures w14:val="none"/>
        </w:rPr>
        <w:t xml:space="preserve"> an independent hand count of</w:t>
      </w:r>
      <w:r w:rsidR="0048523A">
        <w:rPr>
          <w:rFonts w:ascii="Aptos" w:hAnsi="Aptos" w:cs="Times New Roman"/>
          <w:kern w:val="0"/>
          <w:sz w:val="22"/>
          <w:szCs w:val="22"/>
          <w14:ligatures w14:val="none"/>
        </w:rPr>
        <w:t xml:space="preserve"> </w:t>
      </w:r>
      <w:r w:rsidRPr="0002095C">
        <w:rPr>
          <w:rFonts w:ascii="Aptos" w:hAnsi="Aptos" w:cs="Times New Roman"/>
          <w:kern w:val="0"/>
          <w:sz w:val="22"/>
          <w:szCs w:val="22"/>
          <w14:ligatures w14:val="none"/>
        </w:rPr>
        <w:t xml:space="preserve">ballots and </w:t>
      </w:r>
      <w:r w:rsidR="0048523A">
        <w:rPr>
          <w:rFonts w:ascii="Aptos" w:hAnsi="Aptos" w:cs="Times New Roman"/>
          <w:kern w:val="0"/>
          <w:sz w:val="22"/>
          <w:szCs w:val="22"/>
          <w14:ligatures w14:val="none"/>
        </w:rPr>
        <w:t>tallying</w:t>
      </w:r>
      <w:r w:rsidRPr="0002095C">
        <w:rPr>
          <w:rFonts w:ascii="Aptos" w:hAnsi="Aptos" w:cs="Times New Roman"/>
          <w:kern w:val="0"/>
          <w:sz w:val="22"/>
          <w:szCs w:val="22"/>
          <w14:ligatures w14:val="none"/>
        </w:rPr>
        <w:t xml:space="preserve"> the results of the selected contests. The final hand-count tally total is compared to the election night voting system results. </w:t>
      </w:r>
    </w:p>
    <w:p w14:paraId="0983C6DA"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1F7061E1" w14:textId="77777777" w:rsidR="0002095C" w:rsidRPr="0002095C" w:rsidRDefault="0002095C" w:rsidP="0002095C">
      <w:pPr>
        <w:spacing w:line="240" w:lineRule="auto"/>
        <w:contextualSpacing/>
        <w:rPr>
          <w:rFonts w:ascii="Aptos" w:hAnsi="Aptos" w:cs="Times New Roman"/>
          <w:i/>
          <w:iCs/>
          <w:kern w:val="0"/>
          <w:sz w:val="22"/>
          <w:szCs w:val="22"/>
          <w14:ligatures w14:val="none"/>
        </w:rPr>
      </w:pPr>
      <w:r w:rsidRPr="0002095C">
        <w:rPr>
          <w:rFonts w:ascii="Aptos" w:hAnsi="Aptos" w:cs="Times New Roman"/>
          <w:i/>
          <w:iCs/>
          <w:kern w:val="0"/>
          <w:sz w:val="22"/>
          <w:szCs w:val="22"/>
          <w:highlight w:val="yellow"/>
          <w14:ligatures w14:val="none"/>
        </w:rPr>
        <w:t>[Optional: Provide a summary of your municipality’s audit results. If there is a discrepancy, you may wish to discuss the discrepancy once a full analysis has been conducted by the WEC.]</w:t>
      </w:r>
    </w:p>
    <w:p w14:paraId="3567AF8F"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65C6CAFA" w14:textId="2EE6AEDA"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Audit materials are submitted to the WEC for review. The WEC analyzes the audit results and investigates any discrepancies and can request</w:t>
      </w:r>
      <w:r w:rsidR="0048523A">
        <w:rPr>
          <w:rFonts w:ascii="Aptos" w:hAnsi="Aptos" w:cs="Times New Roman"/>
          <w:kern w:val="0"/>
          <w:sz w:val="22"/>
          <w:szCs w:val="22"/>
          <w14:ligatures w14:val="none"/>
        </w:rPr>
        <w:t xml:space="preserve"> that</w:t>
      </w:r>
      <w:r w:rsidRPr="0002095C">
        <w:rPr>
          <w:rFonts w:ascii="Aptos" w:hAnsi="Aptos" w:cs="Times New Roman"/>
          <w:kern w:val="0"/>
          <w:sz w:val="22"/>
          <w:szCs w:val="22"/>
          <w14:ligatures w14:val="none"/>
        </w:rPr>
        <w:t xml:space="preserve"> a voting machine vendor investigate and provide explanation for any discrepancies. Once this work is complete, WEC staff will prepare a public report for review by the six Commissioners during an upcoming Commission meeting.</w:t>
      </w:r>
    </w:p>
    <w:p w14:paraId="1665C458"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592A308B" w14:textId="72895D55"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Post-election audits, </w:t>
      </w:r>
      <w:r w:rsidR="00BF311C">
        <w:rPr>
          <w:rFonts w:ascii="Aptos" w:hAnsi="Aptos" w:cs="Times New Roman"/>
          <w:kern w:val="0"/>
          <w:sz w:val="22"/>
          <w:szCs w:val="22"/>
          <w14:ligatures w14:val="none"/>
        </w:rPr>
        <w:t>covering approximately 10% of th</w:t>
      </w:r>
      <w:r w:rsidR="0048523A">
        <w:rPr>
          <w:rFonts w:ascii="Aptos" w:hAnsi="Aptos" w:cs="Times New Roman"/>
          <w:kern w:val="0"/>
          <w:sz w:val="22"/>
          <w:szCs w:val="22"/>
          <w14:ligatures w14:val="none"/>
        </w:rPr>
        <w:t>e reporting units</w:t>
      </w:r>
      <w:r w:rsidR="00BF311C">
        <w:rPr>
          <w:rFonts w:ascii="Aptos" w:hAnsi="Aptos" w:cs="Times New Roman"/>
          <w:kern w:val="0"/>
          <w:sz w:val="22"/>
          <w:szCs w:val="22"/>
          <w14:ligatures w14:val="none"/>
        </w:rPr>
        <w:t xml:space="preserve"> in the state, </w:t>
      </w:r>
      <w:r w:rsidRPr="0002095C">
        <w:rPr>
          <w:rFonts w:ascii="Aptos" w:hAnsi="Aptos" w:cs="Times New Roman"/>
          <w:kern w:val="0"/>
          <w:sz w:val="22"/>
          <w:szCs w:val="22"/>
          <w14:ligatures w14:val="none"/>
        </w:rPr>
        <w:t xml:space="preserve">serve as a </w:t>
      </w:r>
      <w:r w:rsidR="0048523A">
        <w:rPr>
          <w:rFonts w:ascii="Aptos" w:hAnsi="Aptos" w:cs="Times New Roman"/>
          <w:kern w:val="0"/>
          <w:sz w:val="22"/>
          <w:szCs w:val="22"/>
          <w14:ligatures w14:val="none"/>
        </w:rPr>
        <w:t xml:space="preserve">final </w:t>
      </w:r>
      <w:r w:rsidRPr="0002095C">
        <w:rPr>
          <w:rFonts w:ascii="Aptos" w:hAnsi="Aptos" w:cs="Times New Roman"/>
          <w:kern w:val="0"/>
          <w:sz w:val="22"/>
          <w:szCs w:val="22"/>
          <w14:ligatures w14:val="none"/>
        </w:rPr>
        <w:t xml:space="preserve">check on the election results. While not every reporting unit or municipality is selected for post-election audit, state election officials ensured that the 2024 sample </w:t>
      </w:r>
      <w:r w:rsidR="00BF311C">
        <w:rPr>
          <w:rFonts w:ascii="Aptos" w:hAnsi="Aptos" w:cs="Times New Roman"/>
          <w:kern w:val="0"/>
          <w:sz w:val="22"/>
          <w:szCs w:val="22"/>
          <w14:ligatures w14:val="none"/>
        </w:rPr>
        <w:t>included</w:t>
      </w:r>
      <w:r w:rsidRPr="0002095C">
        <w:rPr>
          <w:rFonts w:ascii="Aptos" w:hAnsi="Aptos" w:cs="Times New Roman"/>
          <w:kern w:val="0"/>
          <w:sz w:val="22"/>
          <w:szCs w:val="22"/>
          <w14:ligatures w14:val="none"/>
        </w:rPr>
        <w:t xml:space="preserve"> at least one reporting unit per county, and at least five reporting units for each type of equipment used.</w:t>
      </w:r>
    </w:p>
    <w:p w14:paraId="429536C3"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7162B0C0" w14:textId="77777777"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Discrepancies in the vote totals are infrequently reported, and if they are, they are typically due to human error, which election officials then work to prevent by developing new training protocols. </w:t>
      </w:r>
    </w:p>
    <w:p w14:paraId="7223B4C0"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5EDA2574" w14:textId="354C535E"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In a separate pre-election voting equipment</w:t>
      </w:r>
      <w:r w:rsidR="0048523A">
        <w:rPr>
          <w:rFonts w:ascii="Aptos" w:hAnsi="Aptos" w:cs="Times New Roman"/>
          <w:kern w:val="0"/>
          <w:sz w:val="22"/>
          <w:szCs w:val="22"/>
          <w14:ligatures w14:val="none"/>
        </w:rPr>
        <w:t xml:space="preserve"> test </w:t>
      </w:r>
      <w:r w:rsidRPr="0002095C">
        <w:rPr>
          <w:rFonts w:ascii="Aptos" w:hAnsi="Aptos" w:cs="Times New Roman"/>
          <w:kern w:val="0"/>
          <w:sz w:val="22"/>
          <w:szCs w:val="22"/>
          <w14:ligatures w14:val="none"/>
        </w:rPr>
        <w:t xml:space="preserve">that occurs before every election </w:t>
      </w:r>
      <w:r w:rsidR="0048523A">
        <w:rPr>
          <w:rFonts w:ascii="Aptos" w:hAnsi="Aptos" w:cs="Times New Roman"/>
          <w:kern w:val="0"/>
          <w:sz w:val="22"/>
          <w:szCs w:val="22"/>
          <w14:ligatures w14:val="none"/>
        </w:rPr>
        <w:t>for each tabulator</w:t>
      </w:r>
      <w:r w:rsidRPr="0002095C">
        <w:rPr>
          <w:rFonts w:ascii="Aptos" w:hAnsi="Aptos" w:cs="Times New Roman"/>
          <w:kern w:val="0"/>
          <w:sz w:val="22"/>
          <w:szCs w:val="22"/>
          <w14:ligatures w14:val="none"/>
        </w:rPr>
        <w:t xml:space="preserve">, programming is verified by feeding a set of pre-marked ballots into each machine and reviewing the results tape that is generated. An errorless count is required at the conclusion of the testing. </w:t>
      </w:r>
    </w:p>
    <w:p w14:paraId="71DBCF25"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18A6AFE3" w14:textId="037F4E52"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Additionally, election officials at the county and state level review state </w:t>
      </w:r>
      <w:r w:rsidR="00D157D3">
        <w:rPr>
          <w:rFonts w:ascii="Aptos" w:hAnsi="Aptos" w:cs="Times New Roman"/>
          <w:kern w:val="0"/>
          <w:sz w:val="22"/>
          <w:szCs w:val="22"/>
          <w14:ligatures w14:val="none"/>
        </w:rPr>
        <w:t xml:space="preserve">and federal </w:t>
      </w:r>
      <w:r w:rsidRPr="0002095C">
        <w:rPr>
          <w:rFonts w:ascii="Aptos" w:hAnsi="Aptos" w:cs="Times New Roman"/>
          <w:kern w:val="0"/>
          <w:sz w:val="22"/>
          <w:szCs w:val="22"/>
          <w14:ligatures w14:val="none"/>
        </w:rPr>
        <w:t xml:space="preserve">election results for any discrepancies before they are certified by the chair of the WEC. </w:t>
      </w:r>
    </w:p>
    <w:p w14:paraId="4DB64B3D"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657150B4" w14:textId="77777777"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More information about the 2024 post-election audit can be found here: </w:t>
      </w:r>
    </w:p>
    <w:p w14:paraId="4731F8A9" w14:textId="77777777" w:rsidR="0002095C" w:rsidRPr="0002095C" w:rsidRDefault="0002095C" w:rsidP="0002095C">
      <w:pPr>
        <w:spacing w:line="240" w:lineRule="auto"/>
        <w:contextualSpacing/>
        <w:rPr>
          <w:rFonts w:ascii="Aptos" w:hAnsi="Aptos" w:cs="Times New Roman"/>
          <w:kern w:val="0"/>
          <w:sz w:val="22"/>
          <w:szCs w:val="22"/>
          <w14:ligatures w14:val="none"/>
        </w:rPr>
      </w:pPr>
      <w:hyperlink r:id="rId4" w:history="1">
        <w:r w:rsidRPr="0002095C">
          <w:rPr>
            <w:rFonts w:ascii="Aptos" w:hAnsi="Aptos" w:cs="Times New Roman"/>
            <w:color w:val="0000FF"/>
            <w:kern w:val="0"/>
            <w:sz w:val="22"/>
            <w:szCs w:val="22"/>
            <w:u w:val="single"/>
            <w14:ligatures w14:val="none"/>
          </w:rPr>
          <w:t>https://elections.wi.gov/2024-voting-equipment-audit</w:t>
        </w:r>
      </w:hyperlink>
    </w:p>
    <w:p w14:paraId="631D3B1E" w14:textId="77777777" w:rsidR="0002095C" w:rsidRPr="0002095C" w:rsidRDefault="0002095C" w:rsidP="0002095C">
      <w:pPr>
        <w:spacing w:line="240" w:lineRule="auto"/>
        <w:contextualSpacing/>
        <w:rPr>
          <w:rFonts w:ascii="Aptos" w:hAnsi="Aptos" w:cs="Times New Roman"/>
          <w:kern w:val="0"/>
          <w:sz w:val="22"/>
          <w:szCs w:val="22"/>
          <w14:ligatures w14:val="none"/>
        </w:rPr>
      </w:pPr>
    </w:p>
    <w:p w14:paraId="7371D1ED" w14:textId="77777777" w:rsidR="0002095C" w:rsidRPr="0002095C" w:rsidRDefault="0002095C" w:rsidP="0002095C">
      <w:pPr>
        <w:spacing w:line="240" w:lineRule="auto"/>
        <w:contextualSpacing/>
        <w:rPr>
          <w:rFonts w:ascii="Aptos" w:hAnsi="Aptos" w:cs="Times New Roman"/>
          <w:kern w:val="0"/>
          <w:sz w:val="22"/>
          <w:szCs w:val="22"/>
          <w14:ligatures w14:val="none"/>
        </w:rPr>
      </w:pPr>
      <w:r w:rsidRPr="0002095C">
        <w:rPr>
          <w:rFonts w:ascii="Aptos" w:hAnsi="Aptos" w:cs="Times New Roman"/>
          <w:kern w:val="0"/>
          <w:sz w:val="22"/>
          <w:szCs w:val="22"/>
          <w14:ligatures w14:val="none"/>
        </w:rPr>
        <w:t xml:space="preserve">Information about audits generally can be found here: </w:t>
      </w:r>
      <w:hyperlink r:id="rId5" w:history="1">
        <w:r w:rsidRPr="0002095C">
          <w:rPr>
            <w:rFonts w:ascii="Aptos" w:hAnsi="Aptos" w:cs="Times New Roman"/>
            <w:color w:val="0000FF"/>
            <w:kern w:val="0"/>
            <w:sz w:val="22"/>
            <w:szCs w:val="22"/>
            <w:u w:val="single"/>
            <w14:ligatures w14:val="none"/>
          </w:rPr>
          <w:t>https://elections.wi.gov/elections/voting-equipment-wisconsin/voting-equipment-security</w:t>
        </w:r>
      </w:hyperlink>
    </w:p>
    <w:p w14:paraId="217F7935" w14:textId="77777777" w:rsidR="0002095C" w:rsidRPr="0002095C" w:rsidRDefault="0002095C" w:rsidP="0002095C">
      <w:pPr>
        <w:rPr>
          <w:sz w:val="22"/>
          <w:szCs w:val="22"/>
        </w:rPr>
      </w:pPr>
    </w:p>
    <w:sectPr w:rsidR="0002095C" w:rsidRPr="0002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5C"/>
    <w:rsid w:val="0002095C"/>
    <w:rsid w:val="00042636"/>
    <w:rsid w:val="00133AA3"/>
    <w:rsid w:val="002C2E81"/>
    <w:rsid w:val="003D297E"/>
    <w:rsid w:val="0048523A"/>
    <w:rsid w:val="006E1741"/>
    <w:rsid w:val="00721CF5"/>
    <w:rsid w:val="0086424F"/>
    <w:rsid w:val="00BF311C"/>
    <w:rsid w:val="00D157D3"/>
    <w:rsid w:val="00D5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C9D9"/>
  <w15:chartTrackingRefBased/>
  <w15:docId w15:val="{D27FB377-D195-4C0A-911C-5C3B0FED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5C"/>
    <w:rPr>
      <w:rFonts w:eastAsiaTheme="majorEastAsia" w:cstheme="majorBidi"/>
      <w:color w:val="272727" w:themeColor="text1" w:themeTint="D8"/>
    </w:rPr>
  </w:style>
  <w:style w:type="paragraph" w:styleId="Title">
    <w:name w:val="Title"/>
    <w:basedOn w:val="Normal"/>
    <w:next w:val="Normal"/>
    <w:link w:val="TitleChar"/>
    <w:uiPriority w:val="10"/>
    <w:qFormat/>
    <w:rsid w:val="00020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5C"/>
    <w:pPr>
      <w:spacing w:before="160"/>
      <w:jc w:val="center"/>
    </w:pPr>
    <w:rPr>
      <w:i/>
      <w:iCs/>
      <w:color w:val="404040" w:themeColor="text1" w:themeTint="BF"/>
    </w:rPr>
  </w:style>
  <w:style w:type="character" w:customStyle="1" w:styleId="QuoteChar">
    <w:name w:val="Quote Char"/>
    <w:basedOn w:val="DefaultParagraphFont"/>
    <w:link w:val="Quote"/>
    <w:uiPriority w:val="29"/>
    <w:rsid w:val="0002095C"/>
    <w:rPr>
      <w:i/>
      <w:iCs/>
      <w:color w:val="404040" w:themeColor="text1" w:themeTint="BF"/>
    </w:rPr>
  </w:style>
  <w:style w:type="paragraph" w:styleId="ListParagraph">
    <w:name w:val="List Paragraph"/>
    <w:basedOn w:val="Normal"/>
    <w:uiPriority w:val="34"/>
    <w:qFormat/>
    <w:rsid w:val="0002095C"/>
    <w:pPr>
      <w:ind w:left="720"/>
      <w:contextualSpacing/>
    </w:pPr>
  </w:style>
  <w:style w:type="character" w:styleId="IntenseEmphasis">
    <w:name w:val="Intense Emphasis"/>
    <w:basedOn w:val="DefaultParagraphFont"/>
    <w:uiPriority w:val="21"/>
    <w:qFormat/>
    <w:rsid w:val="0002095C"/>
    <w:rPr>
      <w:i/>
      <w:iCs/>
      <w:color w:val="0F4761" w:themeColor="accent1" w:themeShade="BF"/>
    </w:rPr>
  </w:style>
  <w:style w:type="paragraph" w:styleId="IntenseQuote">
    <w:name w:val="Intense Quote"/>
    <w:basedOn w:val="Normal"/>
    <w:next w:val="Normal"/>
    <w:link w:val="IntenseQuoteChar"/>
    <w:uiPriority w:val="30"/>
    <w:qFormat/>
    <w:rsid w:val="00020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5C"/>
    <w:rPr>
      <w:i/>
      <w:iCs/>
      <w:color w:val="0F4761" w:themeColor="accent1" w:themeShade="BF"/>
    </w:rPr>
  </w:style>
  <w:style w:type="character" w:styleId="IntenseReference">
    <w:name w:val="Intense Reference"/>
    <w:basedOn w:val="DefaultParagraphFont"/>
    <w:uiPriority w:val="32"/>
    <w:qFormat/>
    <w:rsid w:val="000209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09478">
      <w:bodyDiv w:val="1"/>
      <w:marLeft w:val="0"/>
      <w:marRight w:val="0"/>
      <w:marTop w:val="0"/>
      <w:marBottom w:val="0"/>
      <w:divBdr>
        <w:top w:val="none" w:sz="0" w:space="0" w:color="auto"/>
        <w:left w:val="none" w:sz="0" w:space="0" w:color="auto"/>
        <w:bottom w:val="none" w:sz="0" w:space="0" w:color="auto"/>
        <w:right w:val="none" w:sz="0" w:space="0" w:color="auto"/>
      </w:divBdr>
    </w:div>
    <w:div w:id="1691833315">
      <w:bodyDiv w:val="1"/>
      <w:marLeft w:val="0"/>
      <w:marRight w:val="0"/>
      <w:marTop w:val="0"/>
      <w:marBottom w:val="0"/>
      <w:divBdr>
        <w:top w:val="none" w:sz="0" w:space="0" w:color="auto"/>
        <w:left w:val="none" w:sz="0" w:space="0" w:color="auto"/>
        <w:bottom w:val="none" w:sz="0" w:space="0" w:color="auto"/>
        <w:right w:val="none" w:sz="0" w:space="0" w:color="auto"/>
      </w:divBdr>
    </w:div>
    <w:div w:id="2042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ctions.wi.gov/elections/voting-equipment-wisconsin/voting-equipment-security" TargetMode="External"/><Relationship Id="rId4" Type="http://schemas.openxmlformats.org/officeDocument/2006/relationships/hyperlink" Target="https://elections.wi.gov/2024-voting-equipment-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Vetterkind, Riley - ELECTIONS</dc:creator>
  <cp:keywords/>
  <dc:description/>
  <cp:lastModifiedBy>Vetterkind, Riley - ELECTIONS</cp:lastModifiedBy>
  <cp:revision>2</cp:revision>
  <dcterms:created xsi:type="dcterms:W3CDTF">2024-11-22T17:56:00Z</dcterms:created>
  <dcterms:modified xsi:type="dcterms:W3CDTF">2024-11-22T17:56:00Z</dcterms:modified>
</cp:coreProperties>
</file>